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[I128-1921] Перед выполнением формата более НЕ делается «склейка» текста в одну строку с одновременным удалением комментариев.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89fefc8731cd81e29d6f9059afe25c32e938f2"/>
    <w:p>
      <w:pPr>
        <w:pStyle w:val="Heading1"/>
      </w:pPr>
      <w:r>
        <w:t xml:space="preserve">[I128-1921] Перед выполнением формата более НЕ делается «склейка» текста в одну строку с одновременным удалением комментариев.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12:44</w:t>
      </w:r>
    </w:p>
    <w:p>
      <w:pPr>
        <w:pStyle w:val="BodyText"/>
      </w:pPr>
      <w:r>
        <w:t xml:space="preserve">Начиная с версии 2026 исключена имитация поведения классической версии ИРБИС, когда перед выполнением формата делается «склейка» текста в одну строку с одновременным удалением комментариев.</w:t>
      </w:r>
    </w:p>
    <w:p>
      <w:pPr>
        <w:pStyle w:val="BodyText"/>
      </w:pPr>
      <w:r>
        <w:t xml:space="preserve">Т.е. следующее выражения в форматах {</w:t>
      </w:r>
      <w:r>
        <w:rPr>
          <w:b/>
          <w:bCs/>
        </w:rPr>
        <w:t xml:space="preserve">}становится ошибочным{</w:t>
      </w:r>
      <w:r>
        <w:t xml:space="preserve">}, коим оно и является.</w:t>
      </w:r>
    </w:p>
    <w:p>
      <w:pPr>
        <w:pStyle w:val="BodyText"/>
      </w:pPr>
      <w:r>
        <w:t xml:space="preserve">{*}if p(v305^b) and v510^5:</w:t>
      </w:r>
      <w:r>
        <w:t xml:space="preserve">‘0’</w:t>
      </w:r>
      <w:r>
        <w:t xml:space="preserve"> </w:t>
      </w:r>
      <w:r>
        <w:t xml:space="preserve">then (“</w:t>
      </w:r>
    </w:p>
    <w:p>
      <w:pPr>
        <w:pStyle w:val="BodyText"/>
      </w:pPr>
      <w:r>
        <w:t xml:space="preserve">v305^a”</w:t>
      </w:r>
      <w:r>
        <w:t xml:space="preserve"> </w:t>
      </w:r>
      <w:r>
        <w:t xml:space="preserve">“,v305^b{*}{</w:t>
      </w:r>
      <w:r>
        <w:rPr>
          <w:b/>
          <w:bCs/>
        </w:rPr>
        <w:t xml:space="preserve">}</w:t>
      </w:r>
      <w:r>
        <w:rPr>
          <w:b/>
          <w:bCs/>
          <w:i/>
          <w:iCs/>
        </w:rPr>
        <w:t xml:space="preserve">,|,|v30</w:t>
      </w:r>
      <w:r>
        <w:rPr>
          <w:b/>
          <w:bCs/>
        </w:rPr>
        <w:t xml:space="preserve">{</w:t>
      </w:r>
      <w:r>
        <w:t xml:space="preserve">}</w:t>
      </w:r>
    </w:p>
    <w:p>
      <w:pPr>
        <w:pStyle w:val="BodyText"/>
      </w:pPr>
      <w:r>
        <w:t xml:space="preserve">{**}*5</w:t>
      </w:r>
      <w:r>
        <w:rPr>
          <w:vertAlign w:val="superscript"/>
        </w:rPr>
        <w:t xml:space="preserve">c,|,|*{**}{*}v305</w:t>
      </w:r>
      <w:r>
        <w:t xml:space="preserve">d,|,|v305^e/) else if p(v510^0) then (“</w:t>
      </w:r>
    </w:p>
    <w:p>
      <w:pPr>
        <w:pStyle w:val="BodyText"/>
      </w:pPr>
      <w:r>
        <w:t xml:space="preserve">v510^0”</w:t>
      </w:r>
      <w:r>
        <w:t xml:space="preserve"> </w:t>
      </w:r>
      <w:r>
        <w:t xml:space="preserve">“) fi{</w:t>
      </w:r>
      <w:r>
        <w:rPr>
          <w:i/>
          <w:iCs/>
        </w:rPr>
        <w:t xml:space="preserve">}</w:t>
      </w:r>
      <w:r>
        <w:rPr>
          <w:i/>
          <w:iCs/>
        </w:rPr>
        <w:t xml:space="preserve"> </w:t>
      </w:r>
      <w:r>
        <w:t xml:space="preserve">fi*</w:t>
      </w:r>
    </w:p>
    <w:p>
      <w:pPr>
        <w:pStyle w:val="BodyText"/>
      </w:pPr>
      <w:r>
        <w:t xml:space="preserve">Также, теперь перевод каретки становится полноценным символом – разделителем, поэтому такие выражения (без пробелов и запятых в конце строки, но с переводом каретки) перестают быть ошибками.</w:t>
      </w:r>
    </w:p>
    <w:p>
      <w:pPr>
        <w:pStyle w:val="BodyText"/>
      </w:pPr>
      <w:r>
        <w:rPr>
          <w:i/>
          <w:iCs/>
        </w:rPr>
        <w:t xml:space="preserve">if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rPr>
          <w:i/>
          <w:iCs/>
        </w:rPr>
        <w:t xml:space="preserve"> </w:t>
      </w:r>
      <w:r>
        <w:rPr>
          <w:i/>
          <w:iCs/>
        </w:rPr>
        <w:t xml:space="preserve">=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rPr>
          <w:i/>
          <w:iCs/>
        </w:rPr>
        <w:t xml:space="preserve"> </w:t>
      </w:r>
      <w:r>
        <w:rPr>
          <w:i/>
          <w:iCs/>
        </w:rPr>
        <w:t xml:space="preserve">then</w:t>
      </w:r>
      <w:r>
        <w:rPr>
          <w:i/>
          <w:iCs/>
        </w:rPr>
        <w:t xml:space="preserve"> </w:t>
      </w:r>
      <w:r>
        <w:rPr>
          <w:i/>
          <w:iCs/>
        </w:rPr>
        <w:t xml:space="preserve">‘1’</w:t>
      </w:r>
      <w:r>
        <w:t xml:space="preserve"> </w:t>
      </w:r>
      <w:r>
        <w:rPr>
          <w:b/>
          <w:bCs/>
          <w:i/>
          <w:iCs/>
        </w:rPr>
        <w:t xml:space="preserve">fi</w:t>
      </w:r>
    </w:p>
    <w:p>
      <w:pPr>
        <w:pStyle w:val="BodyText"/>
      </w:pPr>
      <w:r>
        <w:rPr>
          <w:b/>
          <w:bCs/>
          <w:i/>
          <w:iCs/>
        </w:rPr>
        <w:t xml:space="preserve">if</w:t>
      </w:r>
      <w: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=</w:t>
      </w:r>
      <w:r>
        <w:rPr>
          <w:i/>
          <w:iCs/>
        </w:rP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then</w:t>
      </w:r>
      <w:r>
        <w:rPr>
          <w:i/>
          <w:iCs/>
        </w:rPr>
        <w:t xml:space="preserve"> </w:t>
      </w:r>
      <w:r>
        <w:rPr>
          <w:i/>
          <w:iCs/>
        </w:rPr>
        <w:t xml:space="preserve">‘2’</w:t>
      </w:r>
      <w:r>
        <w:rPr>
          <w:i/>
          <w:iCs/>
        </w:rPr>
        <w:t xml:space="preserve"> </w:t>
      </w:r>
      <w:r>
        <w:rPr>
          <w:i/>
          <w:iCs/>
        </w:rPr>
        <w:t xml:space="preserve">fi</w:t>
      </w:r>
    </w:p>
    <w:p>
      <w:pPr>
        <w:pStyle w:val="BodyText"/>
      </w:pPr>
      <w:r>
        <w:t xml:space="preserve">В связи с этим в техническую часть так же вносятся изменения, т. е. Форматы содержащие разрывы строк в командах и функциях языка форматирования будут исправлены.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2"/>
    <w:p>
      <w:pPr>
        <w:pStyle w:val="Heading3"/>
      </w:pPr>
      <w:r>
        <w:t xml:space="preserve">1.1. 🔗 Соответствует задача: I128-1922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[I128-1922]</w:t>
        </w:r>
      </w:hyperlink>
      <w:r>
        <w:t xml:space="preserve"> </w:t>
      </w:r>
      <w:r>
        <w:t xml:space="preserve">исключена имитация поведения классической версии ИРБИС, когда перед выполнением формата делается «склейка» текста в одну строку с одновременным удалением комментариев.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[I128-1921] Перед выполнением формата более НЕ делается «склейка» текста в одну строку с одновременным удалением комментариев.</dc:title>
  <dc:creator/>
  <cp:keywords/>
  <dcterms:created xsi:type="dcterms:W3CDTF">2026-08-31T05:24:09Z</dcterms:created>
  <dcterms:modified xsi:type="dcterms:W3CDTF">2026-08-31T05:24:09Z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